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27CC" w14:textId="70EDC293" w:rsidR="00756FA1" w:rsidRPr="00327203" w:rsidRDefault="000F3C25" w:rsidP="000F3C25">
      <w:pPr>
        <w:jc w:val="center"/>
        <w:rPr>
          <w:rFonts w:ascii="Cambria" w:hAnsi="Cambria" w:cs="Times New Roman"/>
          <w:sz w:val="28"/>
          <w:szCs w:val="28"/>
        </w:rPr>
      </w:pPr>
      <w:r w:rsidRPr="00327203">
        <w:rPr>
          <w:rFonts w:ascii="Cambria" w:hAnsi="Cambria" w:cs="Times New Roman"/>
          <w:b/>
          <w:sz w:val="28"/>
          <w:szCs w:val="28"/>
        </w:rPr>
        <w:t xml:space="preserve">ФОРМА ПРИКАЗА </w:t>
      </w:r>
      <w:r w:rsidR="00327203" w:rsidRPr="00327203">
        <w:rPr>
          <w:rFonts w:ascii="Cambria" w:hAnsi="Cambria" w:cs="Times New Roman"/>
          <w:b/>
          <w:sz w:val="28"/>
          <w:szCs w:val="28"/>
        </w:rPr>
        <w:t xml:space="preserve">ПО </w:t>
      </w:r>
      <w:r w:rsidRPr="00327203">
        <w:rPr>
          <w:rFonts w:ascii="Cambria" w:hAnsi="Cambria" w:cs="Times New Roman"/>
          <w:b/>
          <w:sz w:val="28"/>
          <w:szCs w:val="28"/>
        </w:rPr>
        <w:t>ЛПУ В ОТНОШЕНИИ ПРЕДОПЕРАЦИОННОГО ОБСЛЕДОВАНИЯ ПЕРЕД АМБУЛАТОРНЫМИ МИНИИНВАЗИВНЫМИ ВМЕШАТЕЛЬСТВАМИ НА ПОВЕРХНОСТНЫХ ВЕНАХ</w:t>
      </w:r>
    </w:p>
    <w:p w14:paraId="0B6478E3" w14:textId="77777777" w:rsidR="000F3C25" w:rsidRPr="00327203" w:rsidRDefault="000F3C25" w:rsidP="00756FA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35697D9" w14:textId="44175158" w:rsidR="00756FA1" w:rsidRPr="00327203" w:rsidRDefault="00756FA1" w:rsidP="00756FA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Учитывая приведенную в резолюции круглого стола (доступна по ссылке </w:t>
      </w:r>
      <w:hyperlink r:id="rId7" w:history="1">
        <w:r w:rsidR="00A80382" w:rsidRPr="00327203">
          <w:rPr>
            <w:rStyle w:val="a4"/>
            <w:rFonts w:ascii="Cambria" w:hAnsi="Cambria" w:cs="Times New Roman"/>
            <w:sz w:val="24"/>
            <w:szCs w:val="24"/>
          </w:rPr>
          <w:t>https://phleb</w:t>
        </w:r>
        <w:r w:rsidR="00A80382" w:rsidRPr="00327203">
          <w:rPr>
            <w:rStyle w:val="a4"/>
            <w:rFonts w:ascii="Cambria" w:hAnsi="Cambria" w:cs="Times New Roman"/>
            <w:sz w:val="24"/>
            <w:szCs w:val="24"/>
          </w:rPr>
          <w:t>o</w:t>
        </w:r>
        <w:r w:rsidR="00A80382" w:rsidRPr="00327203">
          <w:rPr>
            <w:rStyle w:val="a4"/>
            <w:rFonts w:ascii="Cambria" w:hAnsi="Cambria" w:cs="Times New Roman"/>
            <w:sz w:val="24"/>
            <w:szCs w:val="24"/>
          </w:rPr>
          <w:t>logy-sro.ru/upload/iblock/10f/rezolyutsiya-po-obsledovaniyu-pered-vmeshatelstvami-vo-flebologii.pdf</w:t>
        </w:r>
      </w:hyperlink>
      <w:r w:rsidRPr="00327203">
        <w:rPr>
          <w:rFonts w:ascii="Cambria" w:hAnsi="Cambria" w:cs="Times New Roman"/>
          <w:sz w:val="24"/>
          <w:szCs w:val="24"/>
        </w:rPr>
        <w:t>)</w:t>
      </w:r>
      <w:r w:rsidR="00A80382" w:rsidRPr="00327203">
        <w:rPr>
          <w:rFonts w:ascii="Cambria" w:hAnsi="Cambria" w:cs="Times New Roman"/>
          <w:sz w:val="24"/>
          <w:szCs w:val="24"/>
        </w:rPr>
        <w:t xml:space="preserve"> </w:t>
      </w:r>
      <w:r w:rsidRPr="00327203">
        <w:rPr>
          <w:rFonts w:ascii="Cambria" w:hAnsi="Cambria" w:cs="Times New Roman"/>
          <w:sz w:val="24"/>
          <w:szCs w:val="24"/>
        </w:rPr>
        <w:t xml:space="preserve">юридическую информацию, только некоторые из диагностических тестов регламентированы федеральным законодательством. Перечень иных исследований перед амбулаторным (или в условиях дневного стационара) </w:t>
      </w:r>
      <w:proofErr w:type="spellStart"/>
      <w:r w:rsidRPr="00327203">
        <w:rPr>
          <w:rFonts w:ascii="Cambria" w:hAnsi="Cambria" w:cs="Times New Roman"/>
          <w:sz w:val="24"/>
          <w:szCs w:val="24"/>
        </w:rPr>
        <w:t>миниинвазивным</w:t>
      </w:r>
      <w:proofErr w:type="spellEnd"/>
      <w:r w:rsidRPr="00327203">
        <w:rPr>
          <w:rFonts w:ascii="Cambria" w:hAnsi="Cambria" w:cs="Times New Roman"/>
          <w:sz w:val="24"/>
          <w:szCs w:val="24"/>
        </w:rPr>
        <w:t xml:space="preserve"> лечением варикозного расширения вен нижних конечностей должен определяться лечащим врачом исходя из методики и </w:t>
      </w:r>
      <w:r w:rsidRPr="00327203">
        <w:rPr>
          <w:rFonts w:ascii="Cambria" w:eastAsia="Calibri" w:hAnsi="Cambria" w:cs="Times New Roman"/>
          <w:color w:val="000000"/>
          <w:sz w:val="24"/>
          <w:szCs w:val="24"/>
        </w:rPr>
        <w:t xml:space="preserve">объема предстоящей процедуры и предполагаемого вида обезболивания, или регламентироваться </w:t>
      </w:r>
      <w:r w:rsidRPr="00327203">
        <w:rPr>
          <w:rFonts w:ascii="Cambria" w:hAnsi="Cambria" w:cs="Times New Roman"/>
          <w:sz w:val="24"/>
          <w:szCs w:val="24"/>
        </w:rPr>
        <w:t xml:space="preserve">ВНУТРЕННИМИ ПРАВИЛАМИ КОНКРЕТНОГО ЛЕЧЕБНОГО УЧРЕЖДЕНИЯ. Об этом говорится в клинических рекомендациях.  </w:t>
      </w:r>
    </w:p>
    <w:p w14:paraId="3C0C3866" w14:textId="5A94404D" w:rsidR="00756FA1" w:rsidRPr="00327203" w:rsidRDefault="00756FA1" w:rsidP="00756FA1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Ниже представлен шаблон формы приказа </w:t>
      </w:r>
      <w:r w:rsidR="00F66472">
        <w:rPr>
          <w:rFonts w:ascii="Cambria" w:hAnsi="Cambria" w:cs="Times New Roman"/>
          <w:sz w:val="24"/>
          <w:szCs w:val="24"/>
        </w:rPr>
        <w:t xml:space="preserve">по </w:t>
      </w:r>
      <w:r w:rsidRPr="00327203">
        <w:rPr>
          <w:rFonts w:ascii="Cambria" w:hAnsi="Cambria" w:cs="Times New Roman"/>
          <w:sz w:val="24"/>
          <w:szCs w:val="24"/>
        </w:rPr>
        <w:t xml:space="preserve">ЛПУ, регламентирующий объем предоперационного обследования перед вмешательствами на поверхностных венах нижних конечностей. Приведенный в шаблоне перечень исследований носит рекомендательный характер, не является обязательным для всех пациентов, и может варьировать исходя из клинической ситуации, соматической отягощенности больного и местных правил ЛПУ. </w:t>
      </w:r>
      <w:r w:rsidRPr="00327203">
        <w:rPr>
          <w:rFonts w:ascii="Cambria" w:hAnsi="Cambria" w:cs="Times New Roman"/>
          <w:b/>
          <w:bCs/>
          <w:sz w:val="24"/>
          <w:szCs w:val="24"/>
        </w:rPr>
        <w:t xml:space="preserve">Каждый руководитель организации вправе сделать представленный в приказе перечень шире или сократить его, ориентируясь на приведенный в резолюции юридический обзор и мнение профессионального сообщества. </w:t>
      </w:r>
    </w:p>
    <w:p w14:paraId="12CE11AE" w14:textId="3BDC6F5B" w:rsidR="00756FA1" w:rsidRPr="00327203" w:rsidRDefault="00756FA1" w:rsidP="00756FA1">
      <w:pPr>
        <w:spacing w:before="120" w:after="120" w:line="240" w:lineRule="auto"/>
        <w:jc w:val="center"/>
        <w:rPr>
          <w:rFonts w:ascii="Cambria" w:eastAsia="Calibri" w:hAnsi="Cambria" w:cs="Times New Roman"/>
          <w:b/>
          <w:sz w:val="24"/>
        </w:rPr>
      </w:pPr>
    </w:p>
    <w:p w14:paraId="12A8C8C8" w14:textId="702B6883" w:rsidR="00756FA1" w:rsidRPr="00327203" w:rsidRDefault="00756FA1" w:rsidP="00756FA1">
      <w:pPr>
        <w:spacing w:before="120" w:after="120" w:line="240" w:lineRule="auto"/>
        <w:jc w:val="center"/>
        <w:rPr>
          <w:rFonts w:ascii="Cambria" w:eastAsia="Calibri" w:hAnsi="Cambria" w:cs="Times New Roman"/>
          <w:b/>
          <w:sz w:val="24"/>
        </w:rPr>
      </w:pPr>
    </w:p>
    <w:p w14:paraId="41860E84" w14:textId="77777777" w:rsidR="00756FA1" w:rsidRPr="00327203" w:rsidRDefault="00756FA1" w:rsidP="00756FA1">
      <w:pPr>
        <w:spacing w:before="120" w:after="120" w:line="240" w:lineRule="auto"/>
        <w:jc w:val="center"/>
        <w:rPr>
          <w:rFonts w:ascii="Cambria" w:eastAsia="Calibri" w:hAnsi="Cambria" w:cs="Times New Roman"/>
          <w:b/>
          <w:sz w:val="24"/>
        </w:rPr>
      </w:pPr>
    </w:p>
    <w:p w14:paraId="0DE28C78" w14:textId="325C1CEA" w:rsidR="00756FA1" w:rsidRPr="00327203" w:rsidRDefault="00756FA1" w:rsidP="00756FA1">
      <w:pPr>
        <w:spacing w:before="120" w:after="120" w:line="240" w:lineRule="auto"/>
        <w:jc w:val="center"/>
        <w:rPr>
          <w:rFonts w:ascii="Cambria" w:eastAsia="Calibri" w:hAnsi="Cambria" w:cs="Times New Roman"/>
          <w:b/>
          <w:sz w:val="24"/>
          <w:highlight w:val="yellow"/>
        </w:rPr>
      </w:pPr>
      <w:r w:rsidRPr="00327203">
        <w:rPr>
          <w:rFonts w:ascii="Cambria" w:eastAsia="Calibri" w:hAnsi="Cambria" w:cs="Times New Roman"/>
          <w:b/>
          <w:sz w:val="24"/>
          <w:highlight w:val="yellow"/>
        </w:rPr>
        <w:t>ООО «РОМАШКА ПЛЮС»</w:t>
      </w:r>
    </w:p>
    <w:p w14:paraId="4733847A" w14:textId="77777777" w:rsidR="00756FA1" w:rsidRPr="00327203" w:rsidRDefault="00756FA1" w:rsidP="00756FA1">
      <w:pPr>
        <w:spacing w:before="120" w:after="120" w:line="240" w:lineRule="auto"/>
        <w:jc w:val="center"/>
        <w:rPr>
          <w:rFonts w:ascii="Cambria" w:eastAsia="Calibri" w:hAnsi="Cambria" w:cs="Times New Roman"/>
          <w:sz w:val="24"/>
          <w:highlight w:val="yellow"/>
        </w:rPr>
      </w:pPr>
      <w:r w:rsidRPr="00327203">
        <w:rPr>
          <w:rFonts w:ascii="Cambria" w:eastAsia="Calibri" w:hAnsi="Cambria" w:cs="Times New Roman"/>
          <w:sz w:val="24"/>
          <w:highlight w:val="yellow"/>
        </w:rPr>
        <w:t xml:space="preserve">000000, г. Москва, ул. Ромашковая, дом 1 </w:t>
      </w:r>
    </w:p>
    <w:p w14:paraId="1E6E0E98" w14:textId="77777777" w:rsidR="00756FA1" w:rsidRPr="00327203" w:rsidRDefault="00756FA1" w:rsidP="00756FA1">
      <w:pPr>
        <w:pBdr>
          <w:bottom w:val="single" w:sz="12" w:space="1" w:color="auto"/>
        </w:pBdr>
        <w:spacing w:before="120" w:after="120" w:line="240" w:lineRule="auto"/>
        <w:jc w:val="center"/>
        <w:rPr>
          <w:rFonts w:ascii="Cambria" w:eastAsia="Calibri" w:hAnsi="Cambria" w:cs="Times New Roman"/>
          <w:sz w:val="24"/>
        </w:rPr>
      </w:pPr>
      <w:r w:rsidRPr="00327203">
        <w:rPr>
          <w:rFonts w:ascii="Cambria" w:eastAsia="Calibri" w:hAnsi="Cambria" w:cs="Times New Roman"/>
          <w:sz w:val="24"/>
          <w:szCs w:val="24"/>
          <w:highlight w:val="yellow"/>
        </w:rPr>
        <w:t xml:space="preserve">ОГРН </w:t>
      </w:r>
      <w:r w:rsidRPr="00327203">
        <w:rPr>
          <w:rFonts w:ascii="Cambria" w:hAnsi="Cambria" w:cs="Times New Roman"/>
          <w:sz w:val="24"/>
          <w:szCs w:val="24"/>
          <w:highlight w:val="yellow"/>
          <w:shd w:val="clear" w:color="auto" w:fill="FFFFFF"/>
        </w:rPr>
        <w:t>1111111111111</w:t>
      </w:r>
      <w:r w:rsidRPr="00327203">
        <w:rPr>
          <w:rFonts w:ascii="Cambria" w:eastAsia="Calibri" w:hAnsi="Cambria" w:cs="Times New Roman"/>
          <w:sz w:val="24"/>
          <w:szCs w:val="24"/>
          <w:highlight w:val="yellow"/>
        </w:rPr>
        <w:t xml:space="preserve">, ИНН/КПП </w:t>
      </w:r>
      <w:r w:rsidRPr="00327203">
        <w:rPr>
          <w:rFonts w:ascii="Cambria" w:hAnsi="Cambria" w:cs="Times New Roman"/>
          <w:sz w:val="24"/>
          <w:szCs w:val="24"/>
          <w:highlight w:val="yellow"/>
          <w:shd w:val="clear" w:color="auto" w:fill="FFFFFF"/>
        </w:rPr>
        <w:t>22222222222</w:t>
      </w:r>
      <w:r w:rsidRPr="00327203">
        <w:rPr>
          <w:rFonts w:ascii="Cambria" w:eastAsia="Calibri" w:hAnsi="Cambria" w:cs="Times New Roman"/>
          <w:sz w:val="24"/>
          <w:szCs w:val="24"/>
          <w:highlight w:val="yellow"/>
        </w:rPr>
        <w:t>/</w:t>
      </w:r>
      <w:r w:rsidRPr="00327203">
        <w:rPr>
          <w:rFonts w:ascii="Cambria" w:hAnsi="Cambria" w:cs="Times New Roman"/>
          <w:sz w:val="24"/>
          <w:szCs w:val="24"/>
          <w:highlight w:val="yellow"/>
          <w:shd w:val="clear" w:color="auto" w:fill="FFFFFF"/>
        </w:rPr>
        <w:t>3333333333</w:t>
      </w:r>
    </w:p>
    <w:p w14:paraId="7F32A1A0" w14:textId="77777777" w:rsidR="00756FA1" w:rsidRPr="00327203" w:rsidRDefault="00756FA1" w:rsidP="00756FA1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Cambria" w:eastAsia="Calibri" w:hAnsi="Cambria" w:cs="Times New Roman"/>
        </w:rPr>
      </w:pPr>
    </w:p>
    <w:p w14:paraId="546F711B" w14:textId="77777777" w:rsidR="00756FA1" w:rsidRPr="00327203" w:rsidRDefault="00756FA1" w:rsidP="00756FA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right"/>
        <w:rPr>
          <w:rFonts w:ascii="Cambria" w:eastAsia="Arial Unicode MS" w:hAnsi="Cambria" w:cs="Times New Roman"/>
          <w:b/>
          <w:sz w:val="24"/>
          <w:szCs w:val="24"/>
          <w:bdr w:val="nil"/>
        </w:rPr>
      </w:pPr>
    </w:p>
    <w:p w14:paraId="52530DEC" w14:textId="17EB858D" w:rsidR="00756FA1" w:rsidRPr="00327203" w:rsidRDefault="00756FA1" w:rsidP="00756FA1">
      <w:pPr>
        <w:spacing w:before="120" w:after="120" w:line="240" w:lineRule="auto"/>
        <w:jc w:val="center"/>
        <w:rPr>
          <w:rFonts w:ascii="Cambria" w:hAnsi="Cambria" w:cs="Times New Roman"/>
          <w:b/>
          <w:sz w:val="24"/>
        </w:rPr>
      </w:pPr>
      <w:r w:rsidRPr="00327203">
        <w:rPr>
          <w:rFonts w:ascii="Cambria" w:hAnsi="Cambria" w:cs="Times New Roman"/>
          <w:b/>
          <w:sz w:val="24"/>
        </w:rPr>
        <w:t xml:space="preserve">Приказ № </w:t>
      </w:r>
      <w:r w:rsidRPr="00327203">
        <w:rPr>
          <w:rFonts w:ascii="Cambria" w:hAnsi="Cambria" w:cs="Times New Roman"/>
          <w:b/>
          <w:sz w:val="24"/>
          <w:highlight w:val="yellow"/>
        </w:rPr>
        <w:t>__</w:t>
      </w:r>
    </w:p>
    <w:p w14:paraId="5749ECE7" w14:textId="54CA016C" w:rsidR="00756FA1" w:rsidRPr="00327203" w:rsidRDefault="00756FA1" w:rsidP="00756FA1">
      <w:pPr>
        <w:spacing w:before="120" w:after="120" w:line="240" w:lineRule="auto"/>
        <w:contextualSpacing/>
        <w:jc w:val="both"/>
        <w:rPr>
          <w:rFonts w:ascii="Cambria" w:hAnsi="Cambria" w:cs="Times New Roman"/>
          <w:sz w:val="24"/>
        </w:rPr>
      </w:pPr>
      <w:r w:rsidRPr="00327203">
        <w:rPr>
          <w:rFonts w:ascii="Cambria" w:hAnsi="Cambria" w:cs="Times New Roman"/>
          <w:sz w:val="24"/>
          <w:highlight w:val="yellow"/>
        </w:rPr>
        <w:t>от «…» ______ 202_ года                                                                                                         г. Москва</w:t>
      </w:r>
    </w:p>
    <w:p w14:paraId="4A122F69" w14:textId="77777777" w:rsidR="00756FA1" w:rsidRPr="00327203" w:rsidRDefault="00756FA1" w:rsidP="00756FA1">
      <w:pPr>
        <w:spacing w:before="120" w:after="120" w:line="240" w:lineRule="auto"/>
        <w:contextualSpacing/>
        <w:jc w:val="center"/>
        <w:rPr>
          <w:rFonts w:ascii="Cambria" w:hAnsi="Cambria" w:cs="Times New Roman"/>
          <w:sz w:val="24"/>
        </w:rPr>
      </w:pPr>
    </w:p>
    <w:p w14:paraId="5F1A604D" w14:textId="77777777" w:rsidR="00756FA1" w:rsidRPr="00327203" w:rsidRDefault="00756FA1" w:rsidP="00756FA1">
      <w:pPr>
        <w:spacing w:before="120" w:after="120" w:line="240" w:lineRule="auto"/>
        <w:contextualSpacing/>
        <w:jc w:val="both"/>
        <w:rPr>
          <w:rFonts w:ascii="Cambria" w:hAnsi="Cambria" w:cs="Times New Roman"/>
          <w:b/>
          <w:color w:val="0D0D0D" w:themeColor="text1" w:themeTint="F2"/>
          <w:sz w:val="24"/>
        </w:rPr>
      </w:pPr>
    </w:p>
    <w:p w14:paraId="36B1B2A6" w14:textId="026A0FFB" w:rsidR="00756FA1" w:rsidRPr="00327203" w:rsidRDefault="00756FA1" w:rsidP="00756FA1">
      <w:pPr>
        <w:spacing w:before="120" w:after="120" w:line="240" w:lineRule="auto"/>
        <w:contextualSpacing/>
        <w:jc w:val="both"/>
        <w:rPr>
          <w:rFonts w:ascii="Cambria" w:hAnsi="Cambria" w:cs="Times New Roman"/>
          <w:b/>
          <w:color w:val="0D0D0D" w:themeColor="text1" w:themeTint="F2"/>
          <w:sz w:val="24"/>
        </w:rPr>
      </w:pPr>
      <w:r w:rsidRPr="00327203">
        <w:rPr>
          <w:rFonts w:ascii="Cambria" w:hAnsi="Cambria" w:cs="Times New Roman"/>
          <w:b/>
          <w:color w:val="0D0D0D" w:themeColor="text1" w:themeTint="F2"/>
          <w:sz w:val="24"/>
        </w:rPr>
        <w:t xml:space="preserve">О диагностических исследованиях перед </w:t>
      </w:r>
      <w:proofErr w:type="spellStart"/>
      <w:r w:rsidRPr="00327203">
        <w:rPr>
          <w:rFonts w:ascii="Cambria" w:hAnsi="Cambria" w:cs="Times New Roman"/>
          <w:b/>
          <w:color w:val="0D0D0D" w:themeColor="text1" w:themeTint="F2"/>
          <w:sz w:val="24"/>
        </w:rPr>
        <w:t>эндовенозной</w:t>
      </w:r>
      <w:proofErr w:type="spellEnd"/>
      <w:r w:rsidRPr="00327203">
        <w:rPr>
          <w:rFonts w:ascii="Cambria" w:hAnsi="Cambria" w:cs="Times New Roman"/>
          <w:b/>
          <w:color w:val="0D0D0D" w:themeColor="text1" w:themeTint="F2"/>
          <w:sz w:val="24"/>
        </w:rPr>
        <w:t xml:space="preserve"> лазерной или радиочастотной облитерацией и/или </w:t>
      </w:r>
      <w:proofErr w:type="spellStart"/>
      <w:r w:rsidRPr="00327203">
        <w:rPr>
          <w:rFonts w:ascii="Cambria" w:hAnsi="Cambria" w:cs="Times New Roman"/>
          <w:b/>
          <w:color w:val="0D0D0D" w:themeColor="text1" w:themeTint="F2"/>
          <w:sz w:val="24"/>
        </w:rPr>
        <w:t>минифлебэктомией</w:t>
      </w:r>
      <w:proofErr w:type="spellEnd"/>
      <w:r w:rsidR="005E7B51">
        <w:rPr>
          <w:rFonts w:ascii="Cambria" w:hAnsi="Cambria" w:cs="Times New Roman"/>
          <w:b/>
          <w:color w:val="0D0D0D" w:themeColor="text1" w:themeTint="F2"/>
          <w:sz w:val="24"/>
        </w:rPr>
        <w:t>, склеротерапией</w:t>
      </w:r>
    </w:p>
    <w:p w14:paraId="5A1F6C89" w14:textId="77777777" w:rsidR="00756FA1" w:rsidRPr="00327203" w:rsidRDefault="00756FA1" w:rsidP="00756FA1">
      <w:pPr>
        <w:spacing w:before="120" w:after="120" w:line="240" w:lineRule="auto"/>
        <w:jc w:val="both"/>
        <w:rPr>
          <w:rFonts w:ascii="Cambria" w:hAnsi="Cambria" w:cs="Times New Roman"/>
          <w:color w:val="0D0D0D" w:themeColor="text1" w:themeTint="F2"/>
          <w:sz w:val="24"/>
        </w:rPr>
      </w:pPr>
    </w:p>
    <w:p w14:paraId="0293A2A2" w14:textId="79C6A638" w:rsidR="00756FA1" w:rsidRPr="00327203" w:rsidRDefault="00756FA1" w:rsidP="00756FA1">
      <w:pPr>
        <w:spacing w:before="120" w:after="120" w:line="240" w:lineRule="auto"/>
        <w:jc w:val="both"/>
        <w:rPr>
          <w:rFonts w:ascii="Cambria" w:hAnsi="Cambria" w:cs="Times New Roman"/>
          <w:color w:val="0D0D0D" w:themeColor="text1" w:themeTint="F2"/>
          <w:sz w:val="24"/>
        </w:rPr>
      </w:pPr>
      <w:r w:rsidRPr="00327203">
        <w:rPr>
          <w:rFonts w:ascii="Cambria" w:hAnsi="Cambria" w:cs="Times New Roman"/>
          <w:color w:val="0D0D0D" w:themeColor="text1" w:themeTint="F2"/>
          <w:sz w:val="24"/>
        </w:rPr>
        <w:t xml:space="preserve">В целях совершенствования оказания медицинской помощи пациентам с варикозным расширением вен нижних конечностей при применении процедур </w:t>
      </w:r>
      <w:proofErr w:type="spellStart"/>
      <w:r w:rsidRPr="00327203">
        <w:rPr>
          <w:rFonts w:ascii="Cambria" w:hAnsi="Cambria" w:cs="Times New Roman"/>
          <w:color w:val="0D0D0D" w:themeColor="text1" w:themeTint="F2"/>
          <w:sz w:val="24"/>
        </w:rPr>
        <w:t>эндовенозной</w:t>
      </w:r>
      <w:proofErr w:type="spellEnd"/>
      <w:r w:rsidRPr="00327203">
        <w:rPr>
          <w:rFonts w:ascii="Cambria" w:hAnsi="Cambria" w:cs="Times New Roman"/>
          <w:color w:val="0D0D0D" w:themeColor="text1" w:themeTint="F2"/>
          <w:sz w:val="24"/>
        </w:rPr>
        <w:t xml:space="preserve"> лазерной или радиочастотной облитерации и/или минифлебэктомии</w:t>
      </w:r>
      <w:r w:rsidR="005E7B51">
        <w:rPr>
          <w:rFonts w:ascii="Cambria" w:hAnsi="Cambria" w:cs="Times New Roman"/>
          <w:color w:val="0D0D0D" w:themeColor="text1" w:themeTint="F2"/>
          <w:sz w:val="24"/>
        </w:rPr>
        <w:t xml:space="preserve">, а также склеротерапии, </w:t>
      </w:r>
      <w:r w:rsidRPr="00327203">
        <w:rPr>
          <w:rFonts w:ascii="Cambria" w:hAnsi="Cambria" w:cs="Times New Roman"/>
          <w:color w:val="0D0D0D" w:themeColor="text1" w:themeTint="F2"/>
          <w:sz w:val="24"/>
        </w:rPr>
        <w:t xml:space="preserve">ввиду отсутствия достаточного нормативного регулирования и с </w:t>
      </w:r>
      <w:r w:rsidRPr="00327203">
        <w:rPr>
          <w:rFonts w:ascii="Cambria" w:hAnsi="Cambria" w:cs="Times New Roman"/>
          <w:color w:val="0D0D0D" w:themeColor="text1" w:themeTint="F2"/>
          <w:sz w:val="24"/>
        </w:rPr>
        <w:lastRenderedPageBreak/>
        <w:t>учетом резолюции круглого стола в отношении объема обследования данной категории</w:t>
      </w:r>
      <w:r w:rsidR="005E7B51">
        <w:rPr>
          <w:rFonts w:ascii="Cambria" w:hAnsi="Cambria" w:cs="Times New Roman"/>
          <w:color w:val="0D0D0D" w:themeColor="text1" w:themeTint="F2"/>
          <w:sz w:val="24"/>
        </w:rPr>
        <w:t xml:space="preserve"> больных </w:t>
      </w:r>
      <w:r w:rsidRPr="00327203">
        <w:rPr>
          <w:rFonts w:ascii="Cambria" w:hAnsi="Cambria" w:cs="Times New Roman"/>
          <w:color w:val="0D0D0D" w:themeColor="text1" w:themeTint="F2"/>
          <w:sz w:val="24"/>
        </w:rPr>
        <w:t>[1],</w:t>
      </w:r>
    </w:p>
    <w:p w14:paraId="5AE41F78" w14:textId="77777777" w:rsidR="00756FA1" w:rsidRPr="00327203" w:rsidRDefault="00756FA1" w:rsidP="00756FA1">
      <w:pPr>
        <w:shd w:val="clear" w:color="auto" w:fill="FFFFFF"/>
        <w:spacing w:before="120" w:after="120" w:line="240" w:lineRule="auto"/>
        <w:rPr>
          <w:rFonts w:ascii="Cambria" w:eastAsia="Times New Roman" w:hAnsi="Cambria" w:cs="Times New Roman"/>
          <w:b/>
          <w:color w:val="0D0D0D" w:themeColor="text1" w:themeTint="F2"/>
          <w:sz w:val="24"/>
          <w:szCs w:val="24"/>
          <w:lang w:eastAsia="ru-RU"/>
        </w:rPr>
      </w:pPr>
    </w:p>
    <w:p w14:paraId="74D2D2AD" w14:textId="11ED6263" w:rsidR="00756FA1" w:rsidRPr="00327203" w:rsidRDefault="00756FA1" w:rsidP="00A709F6">
      <w:pPr>
        <w:shd w:val="clear" w:color="auto" w:fill="FFFFFF"/>
        <w:spacing w:before="120" w:after="120" w:line="240" w:lineRule="auto"/>
        <w:jc w:val="center"/>
        <w:rPr>
          <w:rFonts w:ascii="Cambria" w:eastAsia="Times New Roman" w:hAnsi="Cambria" w:cs="Times New Roman"/>
          <w:b/>
          <w:color w:val="0D0D0D" w:themeColor="text1" w:themeTint="F2"/>
          <w:sz w:val="24"/>
          <w:szCs w:val="24"/>
          <w:lang w:eastAsia="ru-RU"/>
        </w:rPr>
      </w:pPr>
      <w:r w:rsidRPr="00327203">
        <w:rPr>
          <w:rFonts w:ascii="Cambria" w:eastAsia="Times New Roman" w:hAnsi="Cambria" w:cs="Times New Roman"/>
          <w:b/>
          <w:color w:val="0D0D0D" w:themeColor="text1" w:themeTint="F2"/>
          <w:sz w:val="24"/>
          <w:szCs w:val="24"/>
          <w:lang w:eastAsia="ru-RU"/>
        </w:rPr>
        <w:t>ПРИКАЗЫВАЮ:</w:t>
      </w:r>
    </w:p>
    <w:p w14:paraId="72D9E163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56E92F09" w14:textId="7C981E93" w:rsidR="00756FA1" w:rsidRPr="00327203" w:rsidRDefault="00756FA1" w:rsidP="00756FA1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Утвердить следующий перечень рекомендуемых диагностических исследований перед </w:t>
      </w:r>
      <w:proofErr w:type="spellStart"/>
      <w:r w:rsidRPr="00327203">
        <w:rPr>
          <w:rFonts w:ascii="Cambria" w:hAnsi="Cambria" w:cs="Times New Roman"/>
          <w:sz w:val="24"/>
          <w:szCs w:val="24"/>
        </w:rPr>
        <w:t>эндовенозной</w:t>
      </w:r>
      <w:proofErr w:type="spellEnd"/>
      <w:r w:rsidRPr="00327203">
        <w:rPr>
          <w:rFonts w:ascii="Cambria" w:hAnsi="Cambria" w:cs="Times New Roman"/>
          <w:sz w:val="24"/>
          <w:szCs w:val="24"/>
        </w:rPr>
        <w:t xml:space="preserve"> лазерной или радиочастотной облитерацией и/или </w:t>
      </w:r>
      <w:proofErr w:type="spellStart"/>
      <w:r w:rsidRPr="00327203">
        <w:rPr>
          <w:rFonts w:ascii="Cambria" w:hAnsi="Cambria" w:cs="Times New Roman"/>
          <w:sz w:val="24"/>
          <w:szCs w:val="24"/>
        </w:rPr>
        <w:t>минифлебэктомией</w:t>
      </w:r>
      <w:proofErr w:type="spellEnd"/>
      <w:r w:rsidRPr="00327203">
        <w:rPr>
          <w:rFonts w:ascii="Cambria" w:hAnsi="Cambria" w:cs="Times New Roman"/>
          <w:sz w:val="24"/>
          <w:szCs w:val="24"/>
        </w:rPr>
        <w:t>:</w:t>
      </w:r>
    </w:p>
    <w:p w14:paraId="4ABE444F" w14:textId="77777777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– Общий анализ крови (ОАК); </w:t>
      </w:r>
    </w:p>
    <w:p w14:paraId="004F74F4" w14:textId="77777777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>– Уровень глюкозы в крови;</w:t>
      </w:r>
    </w:p>
    <w:p w14:paraId="0346577C" w14:textId="77777777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– ВИЧ, гепатиты В и С, </w:t>
      </w:r>
      <w:r w:rsidRPr="00327203">
        <w:rPr>
          <w:rFonts w:ascii="Cambria" w:hAnsi="Cambria" w:cs="Times New Roman"/>
          <w:sz w:val="24"/>
          <w:szCs w:val="24"/>
          <w:lang w:val="en-US"/>
        </w:rPr>
        <w:t>RW</w:t>
      </w:r>
      <w:r w:rsidRPr="00327203">
        <w:rPr>
          <w:rFonts w:ascii="Cambria" w:hAnsi="Cambria" w:cs="Times New Roman"/>
          <w:sz w:val="24"/>
          <w:szCs w:val="24"/>
        </w:rPr>
        <w:t xml:space="preserve">; </w:t>
      </w:r>
    </w:p>
    <w:p w14:paraId="3C96F548" w14:textId="77777777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– Электрокардиограмма (ЭКГ); </w:t>
      </w:r>
    </w:p>
    <w:p w14:paraId="064CAD14" w14:textId="6805AA6B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  <w:highlight w:val="yellow"/>
        </w:rPr>
        <w:t xml:space="preserve">– </w:t>
      </w:r>
      <w:r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(Вписать в случае необходимости дополнительные исследования </w:t>
      </w:r>
      <w:r w:rsidR="00A709F6"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или убрать часть из перечисленных </w:t>
      </w:r>
      <w:r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>по собственным убеждениям, с учетом приведенной в</w:t>
      </w:r>
      <w:r w:rsidR="00A709F6"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 резолюции </w:t>
      </w:r>
      <w:r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>информации);</w:t>
      </w:r>
    </w:p>
    <w:p w14:paraId="46989B54" w14:textId="77777777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– При наличии сопутствующей патологии на усмотрение лечащего врача могут быть назначены дополнительные обследования/консультации смежных специалистов. </w:t>
      </w:r>
    </w:p>
    <w:p w14:paraId="678BAECB" w14:textId="1987181A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В случаях, когда предполагается вмешательство небольшого объема у клинически здорового пациента, объем исследований может быть сокращен за счет </w:t>
      </w:r>
      <w:r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>ОАК и уровня глюкозы</w:t>
      </w:r>
      <w:r w:rsidRPr="00327203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>(вписать по собственным убеждениям, с учетом приведенной в</w:t>
      </w:r>
      <w:r w:rsidR="00A709F6"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 резолюции </w:t>
      </w:r>
      <w:r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>информации)</w:t>
      </w:r>
      <w:r w:rsidRPr="00327203">
        <w:rPr>
          <w:rFonts w:ascii="Cambria" w:hAnsi="Cambria" w:cs="Times New Roman"/>
          <w:sz w:val="24"/>
          <w:szCs w:val="24"/>
          <w:highlight w:val="yellow"/>
        </w:rPr>
        <w:t>.</w:t>
      </w:r>
      <w:r w:rsidRPr="00327203">
        <w:rPr>
          <w:rFonts w:ascii="Cambria" w:hAnsi="Cambria" w:cs="Times New Roman"/>
          <w:sz w:val="24"/>
          <w:szCs w:val="24"/>
        </w:rPr>
        <w:t xml:space="preserve"> </w:t>
      </w:r>
    </w:p>
    <w:p w14:paraId="74BD944F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27EF907D" w14:textId="77777777" w:rsidR="00756FA1" w:rsidRPr="00327203" w:rsidRDefault="00756FA1" w:rsidP="00756FA1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Установить, что эндовенозная лазерная или радиочастотная облитерация и/или </w:t>
      </w:r>
      <w:proofErr w:type="spellStart"/>
      <w:r w:rsidRPr="00327203">
        <w:rPr>
          <w:rFonts w:ascii="Cambria" w:hAnsi="Cambria" w:cs="Times New Roman"/>
          <w:sz w:val="24"/>
          <w:szCs w:val="24"/>
        </w:rPr>
        <w:t>минифлебэктомия</w:t>
      </w:r>
      <w:proofErr w:type="spellEnd"/>
      <w:r w:rsidRPr="00327203">
        <w:rPr>
          <w:rFonts w:ascii="Cambria" w:hAnsi="Cambria" w:cs="Times New Roman"/>
          <w:sz w:val="24"/>
          <w:szCs w:val="24"/>
        </w:rPr>
        <w:t xml:space="preserve"> не должны выполняться пациентам, у которых превышены следующие клинически значимые показатели крови:</w:t>
      </w:r>
    </w:p>
    <w:p w14:paraId="2C86D391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– предельно допустимое количество эритроцитов …*10¹², уровень гемоглобина … г/л, лейкоцитов …*10⁹, тромбоцитов …*10⁹, … </w:t>
      </w:r>
    </w:p>
    <w:p w14:paraId="4B6F3871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>– предельно допустимый уровень глюкозы в крови… ммоль/л.</w:t>
      </w:r>
    </w:p>
    <w:p w14:paraId="04D52DEE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014FC600" w14:textId="3C1D8F70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327203">
        <w:rPr>
          <w:rFonts w:ascii="Cambria" w:hAnsi="Cambria" w:cs="Times New Roman"/>
          <w:b/>
          <w:bCs/>
          <w:iCs/>
          <w:sz w:val="24"/>
          <w:szCs w:val="24"/>
          <w:highlight w:val="yellow"/>
          <w:u w:val="single"/>
        </w:rPr>
        <w:t>Или (</w:t>
      </w:r>
      <w:r w:rsidR="005E7B51">
        <w:rPr>
          <w:rFonts w:ascii="Cambria" w:hAnsi="Cambria" w:cs="Times New Roman"/>
          <w:b/>
          <w:bCs/>
          <w:iCs/>
          <w:sz w:val="24"/>
          <w:szCs w:val="24"/>
          <w:highlight w:val="yellow"/>
          <w:u w:val="single"/>
        </w:rPr>
        <w:t>!!</w:t>
      </w:r>
      <w:r w:rsidRPr="00327203">
        <w:rPr>
          <w:rFonts w:ascii="Cambria" w:hAnsi="Cambria" w:cs="Times New Roman"/>
          <w:b/>
          <w:bCs/>
          <w:iCs/>
          <w:sz w:val="24"/>
          <w:szCs w:val="24"/>
          <w:highlight w:val="yellow"/>
          <w:u w:val="single"/>
        </w:rPr>
        <w:t>!)</w:t>
      </w:r>
    </w:p>
    <w:p w14:paraId="6C6BACDD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79D38355" w14:textId="663926E9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Установить, что предельно допустимые показатели анализов могут определяться </w:t>
      </w:r>
      <w:r w:rsidR="00A709F6" w:rsidRPr="00327203">
        <w:rPr>
          <w:rFonts w:ascii="Cambria" w:hAnsi="Cambria" w:cs="Times New Roman"/>
          <w:sz w:val="24"/>
          <w:szCs w:val="24"/>
        </w:rPr>
        <w:t xml:space="preserve">лечащим </w:t>
      </w:r>
      <w:r w:rsidRPr="00327203">
        <w:rPr>
          <w:rFonts w:ascii="Cambria" w:hAnsi="Cambria" w:cs="Times New Roman"/>
          <w:sz w:val="24"/>
          <w:szCs w:val="24"/>
        </w:rPr>
        <w:t>врачом самостоятельно исходя из клинической ситуации.</w:t>
      </w:r>
    </w:p>
    <w:p w14:paraId="42625295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sz w:val="24"/>
          <w:szCs w:val="24"/>
        </w:rPr>
      </w:pPr>
    </w:p>
    <w:p w14:paraId="5106FDF6" w14:textId="377EBAC1" w:rsidR="00756FA1" w:rsidRPr="00F247D6" w:rsidRDefault="00756FA1" w:rsidP="00756FA1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 w:cs="Times New Roman"/>
          <w:i/>
          <w:iCs/>
          <w:sz w:val="24"/>
          <w:szCs w:val="24"/>
          <w:highlight w:val="yellow"/>
        </w:rPr>
      </w:pPr>
      <w:r w:rsidRPr="00327203">
        <w:rPr>
          <w:rFonts w:ascii="Cambria" w:hAnsi="Cambria" w:cs="Times New Roman"/>
          <w:sz w:val="24"/>
          <w:szCs w:val="24"/>
        </w:rPr>
        <w:t xml:space="preserve">Установить, что сроки действия ОАК, уровня глюкозы в крови, ЭКГ, </w:t>
      </w:r>
      <w:r w:rsidRPr="00327203">
        <w:rPr>
          <w:rFonts w:ascii="Cambria" w:hAnsi="Cambria" w:cs="Times New Roman"/>
          <w:sz w:val="24"/>
          <w:szCs w:val="24"/>
          <w:lang w:val="en-US"/>
        </w:rPr>
        <w:t>RW</w:t>
      </w:r>
      <w:r w:rsidRPr="00327203">
        <w:rPr>
          <w:rFonts w:ascii="Cambria" w:hAnsi="Cambria" w:cs="Times New Roman"/>
          <w:sz w:val="24"/>
          <w:szCs w:val="24"/>
        </w:rPr>
        <w:t xml:space="preserve">, ВИЧ не должны превышать </w:t>
      </w:r>
      <w:r w:rsidR="005E7B51"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>2 (</w:t>
      </w:r>
      <w:r w:rsidR="00F247D6"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или </w:t>
      </w:r>
      <w:r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>4</w:t>
      </w:r>
      <w:r w:rsidR="005E7B51"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>)</w:t>
      </w:r>
      <w:r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 недель (указать срок</w:t>
      </w:r>
      <w:r w:rsidR="00A709F6"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 по своим убеждениям</w:t>
      </w:r>
      <w:r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>,</w:t>
      </w:r>
      <w:r w:rsidR="00A709F6"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 </w:t>
      </w:r>
      <w:r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>с учетом приведенной в</w:t>
      </w:r>
      <w:r w:rsidR="00A709F6"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 резолюции </w:t>
      </w:r>
      <w:r w:rsidRPr="00F247D6">
        <w:rPr>
          <w:rFonts w:ascii="Cambria" w:hAnsi="Cambria" w:cs="Times New Roman"/>
          <w:i/>
          <w:iCs/>
          <w:sz w:val="24"/>
          <w:szCs w:val="24"/>
          <w:highlight w:val="yellow"/>
        </w:rPr>
        <w:t xml:space="preserve">информации). </w:t>
      </w:r>
    </w:p>
    <w:p w14:paraId="1449AC6C" w14:textId="77777777" w:rsidR="00756FA1" w:rsidRPr="00327203" w:rsidRDefault="00756FA1" w:rsidP="00756FA1">
      <w:pPr>
        <w:spacing w:before="120" w:after="12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Срок действия результатов исследования на гепатиты В и С не должны превышать 30 дней. </w:t>
      </w:r>
    </w:p>
    <w:p w14:paraId="69686DD8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</w:p>
    <w:p w14:paraId="664AE3AA" w14:textId="77777777" w:rsidR="00756FA1" w:rsidRPr="00327203" w:rsidRDefault="00756FA1" w:rsidP="00756FA1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 w:rsidRPr="00327203">
        <w:rPr>
          <w:rFonts w:ascii="Cambria" w:hAnsi="Cambria" w:cs="Times New Roman"/>
          <w:bCs/>
          <w:sz w:val="24"/>
          <w:szCs w:val="24"/>
        </w:rPr>
        <w:lastRenderedPageBreak/>
        <w:t>Утвердить отсутствие необходимости в рутинном обследовании пациентов перед процедурой склеротерапии.</w:t>
      </w:r>
    </w:p>
    <w:p w14:paraId="620CD5AF" w14:textId="77777777" w:rsidR="00756FA1" w:rsidRPr="00327203" w:rsidRDefault="00756FA1" w:rsidP="00756FA1">
      <w:pPr>
        <w:pStyle w:val="a3"/>
        <w:spacing w:before="120" w:after="120" w:line="240" w:lineRule="auto"/>
        <w:ind w:left="284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</w:p>
    <w:p w14:paraId="216E8E1E" w14:textId="77777777" w:rsidR="00756FA1" w:rsidRPr="00327203" w:rsidRDefault="00756FA1" w:rsidP="00756FA1">
      <w:pPr>
        <w:pStyle w:val="a3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 w:cs="Times New Roman"/>
          <w:bCs/>
          <w:sz w:val="24"/>
          <w:szCs w:val="24"/>
        </w:rPr>
      </w:pPr>
      <w:r w:rsidRPr="00327203">
        <w:rPr>
          <w:rFonts w:ascii="Cambria" w:hAnsi="Cambria" w:cs="Times New Roman"/>
          <w:bCs/>
          <w:sz w:val="24"/>
          <w:szCs w:val="24"/>
        </w:rPr>
        <w:t xml:space="preserve">Контроль за настоящим приказом возлагаю на </w:t>
      </w:r>
      <w:r w:rsidRPr="00327203">
        <w:rPr>
          <w:rFonts w:ascii="Cambria" w:hAnsi="Cambria" w:cs="Times New Roman"/>
          <w:bCs/>
          <w:sz w:val="24"/>
          <w:szCs w:val="24"/>
          <w:highlight w:val="yellow"/>
        </w:rPr>
        <w:t xml:space="preserve">Иванова </w:t>
      </w:r>
      <w:proofErr w:type="gramStart"/>
      <w:r w:rsidRPr="00327203">
        <w:rPr>
          <w:rFonts w:ascii="Cambria" w:hAnsi="Cambria" w:cs="Times New Roman"/>
          <w:bCs/>
          <w:sz w:val="24"/>
          <w:szCs w:val="24"/>
          <w:highlight w:val="yellow"/>
        </w:rPr>
        <w:t>И.И.</w:t>
      </w:r>
      <w:proofErr w:type="gramEnd"/>
      <w:r w:rsidRPr="00327203">
        <w:rPr>
          <w:rFonts w:ascii="Cambria" w:hAnsi="Cambria" w:cs="Times New Roman"/>
          <w:bCs/>
          <w:sz w:val="24"/>
          <w:szCs w:val="24"/>
          <w:highlight w:val="yellow"/>
        </w:rPr>
        <w:t xml:space="preserve"> (</w:t>
      </w:r>
      <w:r w:rsidRPr="00327203">
        <w:rPr>
          <w:rFonts w:ascii="Cambria" w:hAnsi="Cambria" w:cs="Times New Roman"/>
          <w:bCs/>
          <w:i/>
          <w:sz w:val="24"/>
          <w:szCs w:val="24"/>
          <w:highlight w:val="yellow"/>
        </w:rPr>
        <w:t>или «оставляю за собой»</w:t>
      </w:r>
      <w:r w:rsidRPr="00327203">
        <w:rPr>
          <w:rFonts w:ascii="Cambria" w:hAnsi="Cambria" w:cs="Times New Roman"/>
          <w:bCs/>
          <w:sz w:val="24"/>
          <w:szCs w:val="24"/>
          <w:highlight w:val="yellow"/>
        </w:rPr>
        <w:t>).</w:t>
      </w:r>
      <w:r w:rsidRPr="00327203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294ECBD3" w14:textId="77777777" w:rsidR="00756FA1" w:rsidRPr="00327203" w:rsidRDefault="00756FA1" w:rsidP="00756FA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EEE1699" w14:textId="77777777" w:rsidR="00756FA1" w:rsidRPr="00327203" w:rsidRDefault="00756FA1" w:rsidP="00756FA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EE5C739" w14:textId="77777777" w:rsidR="00756FA1" w:rsidRPr="00327203" w:rsidRDefault="00756FA1" w:rsidP="00756FA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  <w:u w:val="single"/>
        </w:rPr>
      </w:pPr>
      <w:r w:rsidRPr="00327203">
        <w:rPr>
          <w:rFonts w:ascii="Cambria" w:hAnsi="Cambria" w:cs="Times New Roman"/>
          <w:sz w:val="24"/>
          <w:szCs w:val="24"/>
          <w:u w:val="single"/>
        </w:rPr>
        <w:t>Использованная литература:</w:t>
      </w:r>
    </w:p>
    <w:p w14:paraId="2B5E5A88" w14:textId="517C7E5E" w:rsidR="000F3C25" w:rsidRPr="00327203" w:rsidRDefault="00756FA1" w:rsidP="00A709F6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327203">
        <w:rPr>
          <w:rFonts w:ascii="Cambria" w:hAnsi="Cambria" w:cs="Times New Roman"/>
          <w:sz w:val="24"/>
          <w:szCs w:val="24"/>
        </w:rPr>
        <w:t xml:space="preserve">1) </w:t>
      </w:r>
      <w:r w:rsidR="00A709F6" w:rsidRPr="00327203">
        <w:rPr>
          <w:rFonts w:ascii="Cambria" w:hAnsi="Cambria" w:cs="Times New Roman"/>
          <w:sz w:val="24"/>
          <w:szCs w:val="24"/>
        </w:rPr>
        <w:t xml:space="preserve">Фокин </w:t>
      </w:r>
      <w:proofErr w:type="gramStart"/>
      <w:r w:rsidR="00A709F6" w:rsidRPr="00327203">
        <w:rPr>
          <w:rFonts w:ascii="Cambria" w:hAnsi="Cambria" w:cs="Times New Roman"/>
          <w:sz w:val="24"/>
          <w:szCs w:val="24"/>
        </w:rPr>
        <w:t>А.А.</w:t>
      </w:r>
      <w:proofErr w:type="gramEnd"/>
      <w:r w:rsidR="00A709F6" w:rsidRPr="00327203">
        <w:rPr>
          <w:rFonts w:ascii="Cambria" w:hAnsi="Cambria" w:cs="Times New Roman"/>
          <w:sz w:val="24"/>
          <w:szCs w:val="24"/>
        </w:rPr>
        <w:t xml:space="preserve">, Богачёв В.Ю., Лобастов К.В., Гиляров М.Ю., Борсук Д.А., Габай П.Г., </w:t>
      </w:r>
      <w:proofErr w:type="spellStart"/>
      <w:r w:rsidR="00A709F6" w:rsidRPr="00327203">
        <w:rPr>
          <w:rFonts w:ascii="Cambria" w:hAnsi="Cambria" w:cs="Times New Roman"/>
          <w:sz w:val="24"/>
          <w:szCs w:val="24"/>
        </w:rPr>
        <w:t>Бурлева</w:t>
      </w:r>
      <w:proofErr w:type="spellEnd"/>
      <w:r w:rsidR="00A709F6" w:rsidRPr="00327203">
        <w:rPr>
          <w:rFonts w:ascii="Cambria" w:hAnsi="Cambria" w:cs="Times New Roman"/>
          <w:sz w:val="24"/>
          <w:szCs w:val="24"/>
        </w:rPr>
        <w:t xml:space="preserve"> Е.П., </w:t>
      </w:r>
      <w:proofErr w:type="spellStart"/>
      <w:r w:rsidR="00A709F6" w:rsidRPr="00327203">
        <w:rPr>
          <w:rFonts w:ascii="Cambria" w:hAnsi="Cambria" w:cs="Times New Roman"/>
          <w:sz w:val="24"/>
          <w:szCs w:val="24"/>
        </w:rPr>
        <w:t>Беленцов</w:t>
      </w:r>
      <w:proofErr w:type="spellEnd"/>
      <w:r w:rsidR="00A709F6" w:rsidRPr="00327203">
        <w:rPr>
          <w:rFonts w:ascii="Cambria" w:hAnsi="Cambria" w:cs="Times New Roman"/>
          <w:sz w:val="24"/>
          <w:szCs w:val="24"/>
        </w:rPr>
        <w:t xml:space="preserve"> С.М., Бредихин Р.А., Сорока В.В., Крылов А.Ю., Баринов В.Е., </w:t>
      </w:r>
      <w:proofErr w:type="spellStart"/>
      <w:r w:rsidR="00A709F6" w:rsidRPr="00327203">
        <w:rPr>
          <w:rFonts w:ascii="Cambria" w:hAnsi="Cambria" w:cs="Times New Roman"/>
          <w:sz w:val="24"/>
          <w:szCs w:val="24"/>
        </w:rPr>
        <w:t>Росуховский</w:t>
      </w:r>
      <w:proofErr w:type="spellEnd"/>
      <w:r w:rsidR="00A709F6" w:rsidRPr="00327203">
        <w:rPr>
          <w:rFonts w:ascii="Cambria" w:hAnsi="Cambria" w:cs="Times New Roman"/>
          <w:sz w:val="24"/>
          <w:szCs w:val="24"/>
        </w:rPr>
        <w:t xml:space="preserve"> Д.А., </w:t>
      </w:r>
      <w:proofErr w:type="spellStart"/>
      <w:r w:rsidR="00A709F6" w:rsidRPr="00327203">
        <w:rPr>
          <w:rFonts w:ascii="Cambria" w:hAnsi="Cambria" w:cs="Times New Roman"/>
          <w:sz w:val="24"/>
          <w:szCs w:val="24"/>
        </w:rPr>
        <w:t>Манджикян</w:t>
      </w:r>
      <w:proofErr w:type="spellEnd"/>
      <w:r w:rsidR="00A709F6" w:rsidRPr="00327203">
        <w:rPr>
          <w:rFonts w:ascii="Cambria" w:hAnsi="Cambria" w:cs="Times New Roman"/>
          <w:sz w:val="24"/>
          <w:szCs w:val="24"/>
        </w:rPr>
        <w:t xml:space="preserve"> О.П., </w:t>
      </w:r>
      <w:proofErr w:type="spellStart"/>
      <w:r w:rsidR="00A709F6" w:rsidRPr="00327203">
        <w:rPr>
          <w:rFonts w:ascii="Cambria" w:hAnsi="Cambria" w:cs="Times New Roman"/>
          <w:sz w:val="24"/>
          <w:szCs w:val="24"/>
        </w:rPr>
        <w:t>Шайдаков</w:t>
      </w:r>
      <w:proofErr w:type="spellEnd"/>
      <w:r w:rsidR="00A709F6" w:rsidRPr="00327203">
        <w:rPr>
          <w:rFonts w:ascii="Cambria" w:hAnsi="Cambria" w:cs="Times New Roman"/>
          <w:sz w:val="24"/>
          <w:szCs w:val="24"/>
        </w:rPr>
        <w:t xml:space="preserve"> Е.В. Резолюция профессионального сообщества флебологов в отношении объема обследования пациентов перед </w:t>
      </w:r>
      <w:proofErr w:type="spellStart"/>
      <w:r w:rsidR="00A709F6" w:rsidRPr="00327203">
        <w:rPr>
          <w:rFonts w:ascii="Cambria" w:hAnsi="Cambria" w:cs="Times New Roman"/>
          <w:sz w:val="24"/>
          <w:szCs w:val="24"/>
        </w:rPr>
        <w:t>миниинвазивными</w:t>
      </w:r>
      <w:proofErr w:type="spellEnd"/>
      <w:r w:rsidR="00A709F6" w:rsidRPr="00327203">
        <w:rPr>
          <w:rFonts w:ascii="Cambria" w:hAnsi="Cambria" w:cs="Times New Roman"/>
          <w:sz w:val="24"/>
          <w:szCs w:val="24"/>
        </w:rPr>
        <w:t xml:space="preserve"> вмешательствами при варикозном расширении вен нижних конечностей. Амбулаторная хирургия. 2021;18(2):169–183. </w:t>
      </w:r>
      <w:hyperlink r:id="rId8" w:history="1">
        <w:r w:rsidR="000F3C25" w:rsidRPr="00327203">
          <w:rPr>
            <w:rStyle w:val="a4"/>
            <w:rFonts w:ascii="Cambria" w:hAnsi="Cambria" w:cs="Times New Roman"/>
            <w:sz w:val="24"/>
            <w:szCs w:val="24"/>
          </w:rPr>
          <w:t>https://doi.org/10.21518/1995-1477-2021-18-02</w:t>
        </w:r>
      </w:hyperlink>
    </w:p>
    <w:p w14:paraId="792B380B" w14:textId="4CC8A795" w:rsidR="00756FA1" w:rsidRPr="00327203" w:rsidRDefault="00756FA1" w:rsidP="00756FA1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48D1EF72" w14:textId="77777777" w:rsidR="000F3C25" w:rsidRPr="00327203" w:rsidRDefault="000F3C25" w:rsidP="00756FA1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</w:p>
    <w:p w14:paraId="68EAD696" w14:textId="77777777" w:rsidR="000F3C25" w:rsidRPr="00327203" w:rsidRDefault="000F3C25" w:rsidP="00756FA1">
      <w:pPr>
        <w:spacing w:before="120" w:after="120" w:line="240" w:lineRule="auto"/>
        <w:rPr>
          <w:rFonts w:ascii="Cambria" w:hAnsi="Cambria" w:cs="Times New Roman"/>
          <w:sz w:val="24"/>
          <w:szCs w:val="24"/>
          <w:highlight w:val="yellow"/>
        </w:rPr>
      </w:pPr>
    </w:p>
    <w:p w14:paraId="6EF000AB" w14:textId="703A3E86" w:rsidR="00756FA1" w:rsidRPr="00327203" w:rsidRDefault="00F247D6" w:rsidP="00756FA1">
      <w:pPr>
        <w:spacing w:before="120" w:after="12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highlight w:val="yellow"/>
        </w:rPr>
        <w:t>Д</w:t>
      </w:r>
      <w:r w:rsidR="00756FA1" w:rsidRPr="00327203">
        <w:rPr>
          <w:rFonts w:ascii="Cambria" w:hAnsi="Cambria" w:cs="Times New Roman"/>
          <w:sz w:val="24"/>
          <w:szCs w:val="24"/>
          <w:highlight w:val="yellow"/>
        </w:rPr>
        <w:t xml:space="preserve">иректор </w:t>
      </w:r>
      <w:r w:rsidR="00756FA1" w:rsidRPr="00327203">
        <w:rPr>
          <w:rFonts w:ascii="Cambria" w:hAnsi="Cambria" w:cs="Times New Roman"/>
          <w:i/>
          <w:iCs/>
          <w:sz w:val="24"/>
          <w:szCs w:val="24"/>
          <w:highlight w:val="yellow"/>
        </w:rPr>
        <w:t>(или главный врач)</w:t>
      </w:r>
      <w:r w:rsidR="00756FA1" w:rsidRPr="00327203">
        <w:rPr>
          <w:rFonts w:ascii="Cambria" w:hAnsi="Cambria" w:cs="Times New Roman"/>
          <w:sz w:val="24"/>
          <w:szCs w:val="24"/>
          <w:highlight w:val="yellow"/>
        </w:rPr>
        <w:t xml:space="preserve"> ООО «Ромашка плюс» __</w:t>
      </w:r>
      <w:r w:rsidR="000F3C25" w:rsidRPr="00327203">
        <w:rPr>
          <w:rFonts w:ascii="Cambria" w:hAnsi="Cambria" w:cs="Times New Roman"/>
          <w:sz w:val="24"/>
          <w:szCs w:val="24"/>
          <w:highlight w:val="yellow"/>
        </w:rPr>
        <w:t>_</w:t>
      </w:r>
      <w:r>
        <w:rPr>
          <w:rFonts w:ascii="Cambria" w:hAnsi="Cambria" w:cs="Times New Roman"/>
          <w:sz w:val="24"/>
          <w:szCs w:val="24"/>
          <w:highlight w:val="yellow"/>
        </w:rPr>
        <w:t>________________</w:t>
      </w:r>
      <w:r w:rsidR="00756FA1" w:rsidRPr="00327203">
        <w:rPr>
          <w:rFonts w:ascii="Cambria" w:hAnsi="Cambria" w:cs="Times New Roman"/>
          <w:sz w:val="24"/>
          <w:szCs w:val="24"/>
          <w:highlight w:val="yellow"/>
        </w:rPr>
        <w:t>___ / Ромашкин Р.Р.</w:t>
      </w:r>
    </w:p>
    <w:p w14:paraId="782CD13F" w14:textId="77777777" w:rsidR="00ED1CCD" w:rsidRPr="00327203" w:rsidRDefault="00ED1CCD">
      <w:pPr>
        <w:rPr>
          <w:rFonts w:ascii="Cambria" w:hAnsi="Cambria"/>
        </w:rPr>
      </w:pPr>
    </w:p>
    <w:sectPr w:rsidR="00ED1CCD" w:rsidRPr="00327203" w:rsidSect="00D0040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9AC0" w14:textId="77777777" w:rsidR="00605879" w:rsidRDefault="00605879" w:rsidP="00006917">
      <w:pPr>
        <w:spacing w:after="0" w:line="240" w:lineRule="auto"/>
      </w:pPr>
      <w:r>
        <w:separator/>
      </w:r>
    </w:p>
  </w:endnote>
  <w:endnote w:type="continuationSeparator" w:id="0">
    <w:p w14:paraId="17EA9EE6" w14:textId="77777777" w:rsidR="00605879" w:rsidRDefault="00605879" w:rsidP="0000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17129"/>
      <w:docPartObj>
        <w:docPartGallery w:val="Page Numbers (Bottom of Page)"/>
        <w:docPartUnique/>
      </w:docPartObj>
    </w:sdtPr>
    <w:sdtContent>
      <w:p w14:paraId="126330BC" w14:textId="0434B331" w:rsidR="00006917" w:rsidRDefault="000069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3802E" w14:textId="77777777" w:rsidR="00006917" w:rsidRDefault="000069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16B2" w14:textId="77777777" w:rsidR="00605879" w:rsidRDefault="00605879" w:rsidP="00006917">
      <w:pPr>
        <w:spacing w:after="0" w:line="240" w:lineRule="auto"/>
      </w:pPr>
      <w:r>
        <w:separator/>
      </w:r>
    </w:p>
  </w:footnote>
  <w:footnote w:type="continuationSeparator" w:id="0">
    <w:p w14:paraId="1F3AF127" w14:textId="77777777" w:rsidR="00605879" w:rsidRDefault="00605879" w:rsidP="0000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330D"/>
    <w:multiLevelType w:val="hybridMultilevel"/>
    <w:tmpl w:val="DDBA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E7"/>
    <w:rsid w:val="00006917"/>
    <w:rsid w:val="000F3C25"/>
    <w:rsid w:val="00327203"/>
    <w:rsid w:val="0034735A"/>
    <w:rsid w:val="005C2C7A"/>
    <w:rsid w:val="005E7B51"/>
    <w:rsid w:val="00605879"/>
    <w:rsid w:val="006326E7"/>
    <w:rsid w:val="00756FA1"/>
    <w:rsid w:val="008916D7"/>
    <w:rsid w:val="009006CB"/>
    <w:rsid w:val="00A709F6"/>
    <w:rsid w:val="00A73A64"/>
    <w:rsid w:val="00A80382"/>
    <w:rsid w:val="00D0040D"/>
    <w:rsid w:val="00ED1CCD"/>
    <w:rsid w:val="00F247D6"/>
    <w:rsid w:val="00F47EA1"/>
    <w:rsid w:val="00F6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49AC"/>
  <w15:chartTrackingRefBased/>
  <w15:docId w15:val="{1555D2F4-0268-487E-91FE-4CAFDF7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C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3C2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038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0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917"/>
  </w:style>
  <w:style w:type="paragraph" w:styleId="a9">
    <w:name w:val="footer"/>
    <w:basedOn w:val="a"/>
    <w:link w:val="aa"/>
    <w:uiPriority w:val="99"/>
    <w:unhideWhenUsed/>
    <w:rsid w:val="0000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518/1995-1477-2021-18-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lebology-sro.ru/upload/iblock/10f/rezolyutsiya-po-obsledovaniyu-pered-vmeshatelstvami-vo-flebolog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2021-11-22T09:50:00Z</dcterms:created>
  <dcterms:modified xsi:type="dcterms:W3CDTF">2021-11-22T11:34:00Z</dcterms:modified>
</cp:coreProperties>
</file>